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536"/>
          <w:tab w:val="right" w:leader="none" w:pos="9072"/>
        </w:tabs>
        <w:spacing w:after="0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after="0" w:before="0" w:line="276" w:lineRule="auto"/>
        <w:ind w:right="-466.062992125984"/>
        <w:jc w:val="both"/>
        <w:rPr>
          <w:rFonts w:ascii="Arial" w:cs="Arial" w:eastAsia="Arial" w:hAnsi="Arial"/>
          <w:color w:val="2e75b5"/>
          <w:sz w:val="24"/>
          <w:szCs w:val="24"/>
        </w:rPr>
      </w:pPr>
      <w:bookmarkStart w:colFirst="0" w:colLast="0" w:name="_en6zpbwdzc7j" w:id="0"/>
      <w:bookmarkEnd w:id="0"/>
      <w:r w:rsidDel="00000000" w:rsidR="00000000" w:rsidRPr="00000000">
        <w:rPr>
          <w:rFonts w:ascii="Arial" w:cs="Arial" w:eastAsia="Arial" w:hAnsi="Arial"/>
          <w:color w:val="2e75b5"/>
          <w:sz w:val="24"/>
          <w:szCs w:val="24"/>
          <w:rtl w:val="0"/>
        </w:rPr>
        <w:t xml:space="preserve">“Wymagania </w:t>
      </w:r>
      <w:r w:rsidDel="00000000" w:rsidR="00000000" w:rsidRPr="00000000">
        <w:rPr>
          <w:rFonts w:ascii="Arial" w:cs="Arial" w:eastAsia="Arial" w:hAnsi="Arial"/>
          <w:color w:val="2e75b5"/>
          <w:sz w:val="24"/>
          <w:szCs w:val="24"/>
          <w:rtl w:val="0"/>
        </w:rPr>
        <w:t xml:space="preserve">cyberbezpieczeństwa</w:t>
      </w:r>
      <w:r w:rsidDel="00000000" w:rsidR="00000000" w:rsidRPr="00000000">
        <w:rPr>
          <w:rFonts w:ascii="Arial" w:cs="Arial" w:eastAsia="Arial" w:hAnsi="Arial"/>
          <w:color w:val="2e75b5"/>
          <w:sz w:val="24"/>
          <w:szCs w:val="24"/>
          <w:rtl w:val="0"/>
        </w:rPr>
        <w:t xml:space="preserve"> wobec dostawców Spółek Grupy Veolia w Polsce” - załącznik do umów ze stronami trzecimi.</w:t>
      </w:r>
    </w:p>
    <w:p w:rsidR="00000000" w:rsidDel="00000000" w:rsidP="00000000" w:rsidRDefault="00000000" w:rsidRPr="00000000" w14:paraId="0000000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ind w:right="-466.062992125984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Zarządzanie relacjami z dostawcami w odniesieniu do cyberbezpieczeństwa jest ważną częścią wewnętrznego zarządzania ryzykiem oraz powszechną praktyką zgodnie z międzynarodowymi normami (np.  ISO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27000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, dyrektywa NIS). </w:t>
      </w:r>
    </w:p>
    <w:p w:rsidR="00000000" w:rsidDel="00000000" w:rsidP="00000000" w:rsidRDefault="00000000" w:rsidRPr="00000000" w14:paraId="00000005">
      <w:pPr>
        <w:pStyle w:val="Heading1"/>
        <w:numPr>
          <w:ilvl w:val="0"/>
          <w:numId w:val="1"/>
        </w:numPr>
        <w:spacing w:after="0" w:before="0" w:line="276" w:lineRule="auto"/>
        <w:ind w:left="566.9291338582675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7ofykureaomb" w:id="1"/>
      <w:bookmarkEnd w:id="1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Bezpieczeństwo dostępu podmiotów zewnętrznych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Oferent, Podmiot przetwarzający, Wykonawca lub Kontrahent Veolii (zwany dalej „Dostawcą”) oświadcza i gwarantuje, że zapoznał się z niniejszymi Wymaganiami cyberbezpieczeństwa i przyjmuje je do wiadomości oraz zgadza się ich przestrzegać podczas: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uzyskiwania dostępu do obiektów, sieci i/lub systemów informatycznych Grupy Veolia w Polsce; lub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uzyskiwania dostępu, przetwarzania lub przechowywania informacji/danych Grupy Veolia w Polsce; lub 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dostarczania usług infrastruktury IT i/lub tworzenia oprogramowania.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Wszelkie odniesienia do „Zamawiającego” w niniejszym dokumencie stanowią odniesienie nie tylko do danych Veolii (lub systemów, usług itp.), ale również do danych Klientów i Partnerów Grupy Veolia w Polsce.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Naruszenie tych postanowień przez Dostawcę może spowodować natychmiastowe jednostronne rozwiązanie Umowy przez Zamawiającego oraz stanowi podstawę do żądania pokrycia powstałej szkody lub zapłaty kary umownej, jeśli taki obowiązek wynika z zawartej Umowy.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Przed uzyskaniem dostępu do zasobów informatycznych lub danych Zamawiającego wymagane jest podpisanie umowy o zachowaniu poufności (chyba że postanowienia dotyczące zachowania poufności są zawarte w Umowie głównej), a jeżeli ma miejsce udostępnienie danych osobowych, wymagane jest podpisanie umowy o powierzeniu przetwarzania danych osobowych.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Pracownicy, współpracownicy oraz ewentualni podwykonawcy Dostawcy wykonujący zadania na rzecz Zamawiającego muszą być informowani o zasadach cyberbezpieczeństwa przedstawionych w niniejszym dokumencie.</w:t>
      </w:r>
    </w:p>
    <w:p w:rsidR="00000000" w:rsidDel="00000000" w:rsidP="00000000" w:rsidRDefault="00000000" w:rsidRPr="00000000" w14:paraId="0000000E">
      <w:pPr>
        <w:pStyle w:val="Heading1"/>
        <w:numPr>
          <w:ilvl w:val="0"/>
          <w:numId w:val="1"/>
        </w:numPr>
        <w:spacing w:after="0" w:before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qgynlbmhdsi" w:id="2"/>
      <w:bookmarkEnd w:id="2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Podwykonawstwo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right="-466.06299212598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posiada umowy kontraktowe ze wszystkimi podwykonawcami usług w</w:t>
      </w:r>
      <w:r w:rsidDel="00000000" w:rsidR="00000000" w:rsidRPr="00000000">
        <w:rPr>
          <w:rFonts w:ascii="Arial" w:cs="Arial" w:eastAsia="Arial" w:hAnsi="Arial"/>
          <w:rtl w:val="0"/>
        </w:rPr>
        <w:t xml:space="preserve"> celu ustalenia odpowiedzialności za bezpieczeństwo danych Zamawiającego, które przetwarzają/przechowują/przekazują w imieniu Zamawiającego. Dostawca dołoży wszelkich starań, aby środki bezpieczeństwa wdrażane przez podwykonawców były zgodne z poziomem określonym w niniejszych Wymaganiach i w Umowie głównej lub go przewyższające. Dostawca, w ramach procesu zarządzania dostawcami, weryfikuje skuteczność tych środków.</w:t>
      </w:r>
    </w:p>
    <w:p w:rsidR="00000000" w:rsidDel="00000000" w:rsidP="00000000" w:rsidRDefault="00000000" w:rsidRPr="00000000" w14:paraId="00000010">
      <w:pPr>
        <w:pStyle w:val="Heading1"/>
        <w:numPr>
          <w:ilvl w:val="0"/>
          <w:numId w:val="1"/>
        </w:numPr>
        <w:spacing w:after="0" w:before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fsmnz4fpn40p" w:id="3"/>
      <w:bookmarkEnd w:id="3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Zasoby ludzkie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celu zminimalizowania ryzyka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powstania incydentu cyberbezpieczeństwa, Dostawca przeprowadza weryfikację kwalifikacji i referencji pracowników i współpracowników w zakresie dozwolonym przez prawo oraz zgodnie z wewnętrznymi procedurami rekrutacyjnymi.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potwierdza, że wszyscy pracownicy i współpracownicy posiadają kompetencje niezbędne do pełnienia powierzonych im ról i obowiązków, podlegają działaniom podnoszącym świadomość i przechodzą odpowiednie szkolenia w celu zwiększenia kompetencji w zakresie cyberbezpieczeństwa. </w:t>
      </w:r>
    </w:p>
    <w:p w:rsidR="00000000" w:rsidDel="00000000" w:rsidP="00000000" w:rsidRDefault="00000000" w:rsidRPr="00000000" w14:paraId="00000013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x07tipo1otc6" w:id="4"/>
      <w:bookmarkEnd w:id="4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Bezpieczeństwo fizyczne i środowiskowe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Obiekty Grupy Veolia w Polsce zostały podzielone na strefy ochrony odpowiadające środkom bezpieczeństwa i prawom dostępu spełniającym odpowiednie wymogi bezpieczeństwa.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Fizyczny dostęp do obiektów i/lub zasobów informatycznych Zamawiającego dla personelu Dostawcy możliwy jest tylko za zgodą i na zasadach obowiązujących u Zamawiającego.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uzasadnionych przypadkach Dostawca może otrzymać imienne karty dostępowe do obiektów Zamawiającego. Karty te mogą być wykorzystywane tylko i wyłącznie przez personel Dostawcy, dla którego zostały wystawione. Przekazywanie kart między członkami personelu Dostawcy lub osobami trzecimi stanowi naruszenie zasad bezpieczeństwa Zamawiającego.</w:t>
      </w:r>
    </w:p>
    <w:p w:rsidR="00000000" w:rsidDel="00000000" w:rsidP="00000000" w:rsidRDefault="00000000" w:rsidRPr="00000000" w14:paraId="00000017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m6u7pj2rvh6i" w:id="5"/>
      <w:bookmarkEnd w:id="5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Dostęp do systemów teleinformatycznych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Zamawiający stosuje mechanizmy kontroli dostępu do systemów teleinformatycznych (SI) w celu weryfikacji tożsamości i ograniczenia dostępu do autoryzowanych użytkowników.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Przed uzyskaniem dostępu do SI Zamawiającego, musi zostać zdefiniowany zakres i warunki używania zasobów Zamawiającego przez Dostawcę.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Dostęp Dostawcy do SI Zamawiającego jest ograniczony do ścisłego niezbędnego minimum (usługa i czas trwania) oraz podlega kontroli przez Zamawiającego.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Nieuprawniony dostęp do SI Zamawiającego jest incydentem bezpieczeństwa.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Członkowie personelu Dostawcy, uprawnieni do dostępu do SI Zamawiającego, mogą logować się wyłącznie przydzielonymi imiennymi kontami systemowymi utworzonymi na potrzeby realizacji Umowy.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Użytkownicy SI Grupy Veolia w Polsce zobowiązani są do stosowania haseł zgodnie z wymogami istniejącymi w Grupie Veolia: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minimalna długość hasła 15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znaków (wykorzystania w haśle trzech z czterech typów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znaków: dużych lub małych liter, cyfr oraz znaków specjalnych),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zablokowanie konta w przypadku 10-krotnej próby wprowadzenia nieprawidłowego hasła.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Nadane imienne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poświadczenia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do SI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Grupy Veolia w Polsce nie mogą być współdzielone, ujawniane i przekazywane.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Domyślne hasła do SI powinny zostać zmienione bez zbędnej zwłoki.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zobowiązany jest do niezwłocznego poinformowania Zamawiającego o zakończeniu/wygaśnięciu zatrudnienia pracowników lub współpracowników posiadających prawa dostępu do zasobów Zamawiającego. </w:t>
      </w:r>
    </w:p>
    <w:p w:rsidR="00000000" w:rsidDel="00000000" w:rsidP="00000000" w:rsidRDefault="00000000" w:rsidRPr="00000000" w14:paraId="00000023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fjas7tskxibj" w:id="6"/>
      <w:bookmarkEnd w:id="6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infrastrukturą teleinformatyczną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Zabronione jest podłączanie jakiegokolwiek sprzętu elektronicznego do sieci teleinformatycznej Grupy Veolia w Polsce bez uprzedniego uzyskania zgody i akceptacji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informatyki centralnej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(IC). Zasoby podłączone niezgodnie z powyższym zapisem będą uważane za obce oraz potencjalnie groźne i mogą być odłączone przez IC bez powiadomienia właściciela, z odnotowaniem tego faktu jako incydent bezpieczeństwa.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Bezwzględnie niedozwolone jest instalowanie przez Dostawcę urządzeń i wyposażenia bezprzewodowego w Spółkach Grupy Veolia w Polsce bez uprzedniej akceptacji IC. Instalacji i konfiguracji urządzeń i wyposażenia bezprzewodowego mogą dokonywać pracownicy IC lub osoby każdorazowo upoważnione przez IC.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może uzyskać bezpośredni dostęp do wewnętrznej sieci komputerowej Zamawiającego wyłącznie w uzasadnionych przypadkach i wyłącznie z wykorzystaniem sprzętu Zamawiającego.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Dostęp zdalny do zasobów informatycznych Zamawiającego możliwy jest jedynie z wykorzystaniem kanałów szyfrowanych VPN, zabezpieczonych uwierzytelnianiem wieloskładnikowym (MFA) wskazanym przez Zamawiającego oraz z wykorzystaniem narzędzia klasy PAM (Privileged Access Management).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Wszystkie komputery Dostawcy, na których będzie miał dostęp do komputerowej sieci Zamawiającego, muszą mieć zainstalowany aktualny system operacyjny, aktywną ochronę sieciową oraz antywirusową.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 ochronę wszystkich aplikacji, systemów i elementów sieci we własnej infrastrukturze, za pomocą odpowiednich narzędzi i procesów zarządzania podatnościami, wykorzystywanych do przetwarzania informacji lub dostępu do infrastruktury Zamawiającego.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każdorazowo poinformuje Zamawiającego o wprowadzaniu istotnych zmian w zabezpieczeniach mających realny wpływ na obniżenie poziomu cyberbezpieczeństwa zasobów Dostawcy: 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wykorzystywanych do świadczenia usługi na rzecz Zamawiającego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 których przetwarza dane Zamawiającego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Wszelkie wprowadzone zmiany w SI Zamawiającego wykonywane przez Dostawcę, muszą zostać zaakceptowane przez Zamawiającego.</w:t>
      </w:r>
      <w:r w:rsidDel="00000000" w:rsidR="00000000" w:rsidRPr="00000000">
        <w:rPr>
          <w:rFonts w:ascii="Arial" w:cs="Arial" w:eastAsia="Arial" w:hAnsi="Arial"/>
          <w:rtl w:val="0"/>
        </w:rPr>
        <w:t xml:space="preserve"> Zamawiający jest odpowiedzialny za wykonanie kopii bezpieczeństwa przed wprowadzeniem zmian, chyba że umowa stanowi inaczej.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Każdorazowo przed wprowadzeniem zmian w środowisku produkcyjnym Zamawiającego, Dostawca ma obowiązek przetestować te zmiany w środowisku testowym. Podczas testów Dostawca w szczególności sprawdzi czy poziom bezpieczeństwa danych nie obniży się po wprowadzeniu zmiany.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Środowiska testowe i deweloperskie mogą być zasilone przez Dostawcę wyłącznie danymi zanonimizowanymi, a jeżeli jest to niemożliwe to danymi poddanymi pseudonimizacji. W wyjątkowych, uzasadnionych przypadkach, gdy zastosowanie anonimizacji lub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pseudonimizacji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jest niemożliwe (m.in ze względu na standardy techniczne podmiotu zewnętrznego), Dostawca zwróci się do Zamawiającego, celem  wspólnego ustalenia alternatywnego sposobu realizacji i wykonania testów, który zapewni odpowiedni poziom ochrony danych Zamawiającego. </w:t>
      </w:r>
    </w:p>
    <w:p w:rsidR="00000000" w:rsidDel="00000000" w:rsidP="00000000" w:rsidRDefault="00000000" w:rsidRPr="00000000" w14:paraId="00000030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kd1e2hbh0ptd" w:id="7"/>
      <w:bookmarkEnd w:id="7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Bezpieczeństwo danych/informacji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="276" w:lineRule="auto"/>
        <w:ind w:left="1440" w:right="-447.9921259842507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odpowiada za zawinione działania wykonane przez swoich pracowników, jak również podwykonawców działających w jego imieniu, w zakresie realizacji niniejszej umowy, w szczególności za: umyślne lub wynikające z rażącego niedbalstwa udostępnienie osobom nieupoważnionym, </w:t>
      </w:r>
      <w:r w:rsidDel="00000000" w:rsidR="00000000" w:rsidRPr="00000000">
        <w:rPr>
          <w:rFonts w:ascii="Arial" w:cs="Arial" w:eastAsia="Arial" w:hAnsi="Arial"/>
          <w:rtl w:val="0"/>
        </w:rPr>
        <w:t xml:space="preserve">przetwarzanie</w:t>
      </w:r>
      <w:r w:rsidDel="00000000" w:rsidR="00000000" w:rsidRPr="00000000">
        <w:rPr>
          <w:rFonts w:ascii="Arial" w:cs="Arial" w:eastAsia="Arial" w:hAnsi="Arial"/>
          <w:rtl w:val="0"/>
        </w:rPr>
        <w:t xml:space="preserve"> z naruszeniem przepisów prawa, zmianę, usunięcie, uszkodzenie, wyciek i utratę danych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 stosowanie środków zapobiegających utracie i wyciekowi informacji Zamawiającego przetwarzanych we własnej infrastrukturze,</w:t>
      </w:r>
      <w:r w:rsidDel="00000000" w:rsidR="00000000" w:rsidRPr="00000000">
        <w:rPr>
          <w:rFonts w:ascii="Arial" w:cs="Arial" w:eastAsia="Arial" w:hAnsi="Arial"/>
          <w:rtl w:val="0"/>
        </w:rPr>
        <w:t xml:space="preserve"> zgodnie z poziomem klasyfikacji informacji przyjętej w Veolii. Klasyfikacja jest ustalana na podstawie wymagań dotyczących poufności, integralności i dostępności informacji. Klasyfikacja obejmuje 3 klasy, które regulują sposób postępowania z informacjami: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Ogólnodostępne (open data) - informacje, które są publicznie dostępne i których publikacja nie będzie powodowała strat dla Zamawiającego,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Służbowe (non-confidential data) - informacja może być udostępniana w ograniczonym zakresie, gdyż ujawnienie może mieć wpływ na interesy Grupy Veolia,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Chronione (confidential data) - informacja dostępna tylko dla osób upoważnionych, której ujawnienie spowoduje straty dla Grupy Veolia. Informacje stanowiące tajemnicę przedsiębiorstwa są informacjami chronionymi.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zapewnia, że wszystkie informacje Zamawiającego są poddane retencji zgodnie z obowiązującymi wymogami prawnymi, regulacyjnymi i umownymi, a tym samym gwarantuje, że wszystkie informacje </w:t>
      </w:r>
      <w:r w:rsidDel="00000000" w:rsidR="00000000" w:rsidRPr="00000000">
        <w:rPr>
          <w:rFonts w:ascii="Arial" w:cs="Arial" w:eastAsia="Arial" w:hAnsi="Arial"/>
          <w:rtl w:val="0"/>
        </w:rPr>
        <w:t xml:space="preserve">bez aktualnego uzasadnienia ich przetwarzania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 zostaną niezwłocznie i skutecznie usunięte z zasobów Dostawcy.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gwarantuje, że stosuje procedury tworzenia i przechowywania kopii zapasowych Zamawiającego, przetwarzanych na zasobach Dostawcy. Przeprowadzane są regularne testy odzyskiwania danych. 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celu ochrony poufności przesyłanych i przechowywanych danych należy stosować zabezpieczenia kryptograficzne. Dostawca zobowiązuje się do opracowania i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udokumentowania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zasad zarządzania kluczami kryptograficznymi oraz ich ochrony przed nieautoryzowanym dostępem lub uszkodzeniem/zniszczeniem. Zabezpieczenia kryptograficzne należy stosować w szczególności podczas: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wymiany danych z Dostawcą,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udostępniania informacji przez Internet,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przekazywania informacji, w których mogą znajdować się dane uwierzytelniające do elementów SI,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przechowywania danych na urządzeniach przenośnych.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gwarantuje, że po zakończeniu współpracy: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zwróci wszystkie otrzymane dane i dokumenty do Zamawiającego, 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trwale usunie wszystkie kopie danych z systemów informatycznych i nośników Dostawcy,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sporządzi protokół potwierdzający zwrot/usunięcie danych,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zachowa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tylko te dane, których przechowywanie jest wymagane przez prawo (np. dokumenty księgowe),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after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poinformuje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podwykonawców o konieczności usunięcia danych,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after="0" w:afterAutospacing="0" w:line="276" w:lineRule="auto"/>
        <w:ind w:left="2409.448818897638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przypadku danych osobowych - będzie postępować zgodnie z RODO i umową powierzenia przetwarzania.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ya4drfvejfm6" w:id="8"/>
      <w:bookmarkEnd w:id="8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incydentami i raportowanie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musi mieć wdrożone udokumentowane procedury dotyczące incydentów związanych z bezpieczeństwem informacji. Procedury muszą obejmować: zgłaszanie, analizę, monitorowanie, rozwiązywanie i dokumentowanie incydentów związanych z bezpieczeństwem, a także procesy reagowania i odzyskiwania danych po wystąpieniu incydentu związanego z bezpieczeństwem.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poinformuje niezwłocznie Zamawiającego o wszelkich wykrytych zagrożeniach lub o wszelkich incydentach cyberbezpieczeństwa w infrastrukturze własnej (Dostawcy) mogących mieć bezpośredni lub pośredni wpływ na poziom cyberbezpieczeństwa infrastruktury i informacji Zamawiającego. W przypadku wystąpienia takiego incydentu, w celu określenia wpływu incydentu na zasoby Zamawiającego,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Dostawca </w:t>
      </w:r>
      <w:r w:rsidDel="00000000" w:rsidR="00000000" w:rsidRPr="00000000">
        <w:rPr>
          <w:rFonts w:ascii="Arial" w:cs="Arial" w:eastAsia="Arial" w:hAnsi="Arial"/>
          <w:rtl w:val="0"/>
        </w:rPr>
        <w:t xml:space="preserve">udostępni</w:t>
      </w:r>
      <w:r w:rsidDel="00000000" w:rsidR="00000000" w:rsidRPr="00000000">
        <w:rPr>
          <w:rFonts w:ascii="Arial" w:cs="Arial" w:eastAsia="Arial" w:hAnsi="Arial"/>
          <w:rtl w:val="0"/>
        </w:rPr>
        <w:t xml:space="preserve"> Zamawiającemu niezbędne informacje z logów systemowych, które dotyczą konkretnego incydentu, przy zachowaniu poufności danych innych klientów i własnych systemów bezpieczeństwa. N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iezwłocznie dostarczy raport opisujący przyczynę, wpływ, zastosowane środki zaradcze i wyciągnięte wnioski.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celu wymiany informacji dotyczących naruszeń Strony ustalają punkty kontaktowe:</w:t>
        <w:br w:type="textWrapping"/>
        <w:t xml:space="preserve">po stronie Zamawiającego:</w:t>
        <w:br w:type="textWrapping"/>
        <w:t xml:space="preserve">Operacyjne Centrum Cyberbezpieczeństwa Grupy Veolia w Polsce - VPOL-SOC </w:t>
        <w:br w:type="textWrapping"/>
        <w:t xml:space="preserve">e-mail: </w:t>
      </w:r>
      <w:hyperlink r:id="rId6">
        <w:r w:rsidDel="00000000" w:rsidR="00000000" w:rsidRPr="00000000">
          <w:rPr>
            <w:rFonts w:ascii="Arial" w:cs="Arial" w:eastAsia="Arial" w:hAnsi="Arial"/>
            <w:color w:val="1c1c1f"/>
            <w:rtl w:val="0"/>
          </w:rPr>
          <w:t xml:space="preserve">vpol.soc@veolia.com</w:t>
        </w:r>
      </w:hyperlink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, telefon: +48 725 755 632</w:t>
        <w:br w:type="textWrapping"/>
      </w:r>
      <w:hyperlink r:id="rId7">
        <w:r w:rsidDel="00000000" w:rsidR="00000000" w:rsidRPr="00000000">
          <w:rPr>
            <w:rFonts w:ascii="Arial" w:cs="Arial" w:eastAsia="Arial" w:hAnsi="Arial"/>
            <w:i w:val="1"/>
            <w:iCs w:val="1"/>
            <w:color w:val="1155cc"/>
            <w:u w:val="single"/>
            <w:rtl w:val="0"/>
          </w:rPr>
          <w:t xml:space="preserve">https://www.veolia.pl/operacyjne-centrum-cyberbezpieczenstwa</w:t>
        </w:r>
      </w:hyperlink>
      <w:r w:rsidDel="00000000" w:rsidR="00000000" w:rsidRPr="00000000">
        <w:rPr>
          <w:rFonts w:ascii="Arial" w:cs="Arial" w:eastAsia="Arial" w:hAnsi="Arial"/>
          <w:i w:val="1"/>
          <w:iCs w:val="1"/>
          <w:color w:val="1c1c1f"/>
          <w:rtl w:val="0"/>
        </w:rPr>
        <w:br w:type="textWrapping"/>
      </w:r>
    </w:p>
    <w:p w:rsidR="00000000" w:rsidDel="00000000" w:rsidP="00000000" w:rsidRDefault="00000000" w:rsidRPr="00000000" w14:paraId="00000048">
      <w:pPr>
        <w:spacing w:after="0" w:line="276" w:lineRule="auto"/>
        <w:ind w:left="1440" w:right="-466.062992125984" w:firstLine="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Po stronie Dostawcy:</w:t>
      </w:r>
    </w:p>
    <w:p w:rsidR="00000000" w:rsidDel="00000000" w:rsidP="00000000" w:rsidRDefault="00000000" w:rsidRPr="00000000" w14:paraId="00000049">
      <w:pPr>
        <w:spacing w:after="0" w:line="276" w:lineRule="auto"/>
        <w:ind w:left="1440" w:right="-466.062992125984" w:firstLine="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…………………………………………………………………………………………</w:t>
        <w:br w:type="textWrapping"/>
        <w:t xml:space="preserve">e-mail: ………………………………….., telefon: ………………………………… </w:t>
      </w:r>
    </w:p>
    <w:p w:rsidR="00000000" w:rsidDel="00000000" w:rsidP="00000000" w:rsidRDefault="00000000" w:rsidRPr="00000000" w14:paraId="0000004A">
      <w:pPr>
        <w:pStyle w:val="Heading1"/>
        <w:numPr>
          <w:ilvl w:val="0"/>
          <w:numId w:val="1"/>
        </w:numPr>
        <w:spacing w:after="0" w:afterAutospacing="0" w:before="40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tzzck18vywf5" w:id="9"/>
      <w:bookmarkEnd w:id="9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ryzykiem w zasobach dostawcy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jest odpowiedzialny za </w:t>
      </w:r>
      <w:r w:rsidDel="00000000" w:rsidR="00000000" w:rsidRPr="00000000">
        <w:rPr>
          <w:rFonts w:ascii="Arial" w:cs="Arial" w:eastAsia="Arial" w:hAnsi="Arial"/>
          <w:rtl w:val="0"/>
        </w:rPr>
        <w:t xml:space="preserve">regularną</w:t>
      </w:r>
      <w:r w:rsidDel="00000000" w:rsidR="00000000" w:rsidRPr="00000000">
        <w:rPr>
          <w:rFonts w:ascii="Arial" w:cs="Arial" w:eastAsia="Arial" w:hAnsi="Arial"/>
          <w:rtl w:val="0"/>
        </w:rPr>
        <w:t xml:space="preserve"> ocenę ryzyka związanego z cyberbezpieczeństwem, w celu zapewnienia odpowiedniej ochrony zasobów Zamawiającego (informacje, technologia, ludzie i obiekty).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after="0" w:afterAutospacing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poinformuje Zamawiającego o wszystkich istotnych zagrożeniach bezpieczeństwa bezpośrednio związanych ze świadczeniem usługi na rzecz Zamawiającego i stworzy plan minimalizacji ryzyka dla wszystkich rozpoznanych zagrożeń.</w:t>
      </w:r>
    </w:p>
    <w:p w:rsidR="00000000" w:rsidDel="00000000" w:rsidP="00000000" w:rsidRDefault="00000000" w:rsidRPr="00000000" w14:paraId="0000004D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hf6beuyj543q" w:id="10"/>
      <w:bookmarkEnd w:id="10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ciągłością działania oraz łańcuchem dostaw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 zachowanie ciągłości działania usług i zasobów Dostawcy, świadczonych i wykorzystywanych na rzecz Zamawiającego poprzez stosowanie planów BCP (Business Continuity Plan), DRP (Disaster Recovery Plan) oraz regularne testy procedur awaryjnych.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zapewnia, że zakres planów ciągłości działania i odzyskiwania danych po awarii obejmuje wszystkie lokalizacje, pracowników, współpracowników i systemy informatyczne wykorzystywane do świadczenia usług na rzecz Zamawiającego.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after="0" w:afterAutospacing="0" w:line="276" w:lineRule="auto"/>
        <w:ind w:left="1440" w:right="-466.062992125984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 żądanie, Dostawca dostarcza Zamawiającemu pisemne podsumowanie swoich planów odzyskiwania danych po awarii i planów ciągłości działania.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squ4m6jw4cn5" w:id="11"/>
      <w:bookmarkEnd w:id="11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Audyty bezpieczeństwa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after="0" w:line="276" w:lineRule="auto"/>
        <w:ind w:left="1440" w:right="-447.9921259842507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celu weryfikacji wdrożenia i stosowania powyższych wymagań Zamawiający ma prawo do przeprowadzenia audytu, nie częściej niż raz w roku kalendarzowym, w sposób nie zakłócający bieżącej działalności Dostawcy, z zachowaniem poufności informacji Dostawcy i jego innych klientów, po wcześniejszym uzgodnieniu terminu z minimum 30-dniowym wyprzedzeniem. W przypadku wystąpienia uzasadnionego podejrzenia poważnego naruszenia bezpieczeństwa, Zamawiający ma prawo przeprowadzić audyt doraźny w ciągu 48 godzin od zgłoszenia takiej potrzeby Dostawcy.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Termin i zakres audytu każdorazowo zostanie ustalony przez strony Umowy.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</w:t>
      </w:r>
      <w:r w:rsidDel="00000000" w:rsidR="00000000" w:rsidRPr="00000000">
        <w:rPr>
          <w:rFonts w:ascii="Arial" w:cs="Arial" w:eastAsia="Arial" w:hAnsi="Arial"/>
          <w:rtl w:val="0"/>
        </w:rPr>
        <w:t xml:space="preserve"> zobowiązuje się do stosowania obustronnie uzgodnionych z Zamawiającym zaleceń poaudytowych.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afterAutospacing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 żądanie Zamawiającego,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dostarczy raporty kontrolne</w:t>
      </w:r>
      <w:r w:rsidDel="00000000" w:rsidR="00000000" w:rsidRPr="00000000">
        <w:rPr>
          <w:rFonts w:ascii="Arial" w:cs="Arial" w:eastAsia="Arial" w:hAnsi="Arial"/>
          <w:rtl w:val="0"/>
        </w:rPr>
        <w:t xml:space="preserve"> stanu zabezpieczeń informatycznych stosowanych przez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Dostawcę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56">
      <w:pPr>
        <w:pStyle w:val="Heading1"/>
        <w:numPr>
          <w:ilvl w:val="0"/>
          <w:numId w:val="1"/>
        </w:numPr>
        <w:spacing w:after="0" w:afterAutospacing="0" w:before="0" w:beforeAutospacing="0" w:line="276" w:lineRule="auto"/>
        <w:ind w:left="720" w:right="-466.062992125984" w:hanging="360"/>
        <w:jc w:val="both"/>
        <w:rPr>
          <w:rFonts w:ascii="Arial" w:cs="Arial" w:eastAsia="Arial" w:hAnsi="Arial"/>
          <w:b w:val="1"/>
          <w:bCs w:val="1"/>
          <w:color w:val="2e75b5"/>
        </w:rPr>
      </w:pPr>
      <w:bookmarkStart w:colFirst="0" w:colLast="0" w:name="_uiak9od312ff" w:id="12"/>
      <w:bookmarkEnd w:id="12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Dostawca ponadto potwierdza,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Bierze odpowiedzialność za powierzony mu w użytkowanie sprzęt komputerowy i oprogramowanie Zamawiającego, a w przypadku jego uszkodzenia, zagubienia lub kradzieży jest zobowiązany do pokrycia uzasadnionych kosztów naprawy lub zwrotu równowartości sprzętu z uwzględnieniem normalnego zużycia oraz amortyzacji, z wyłączeniem przypadków działania siły wyższej.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Zobowiązuje się zwrócić wypożyczony sprzęt i oprogramowanie Zamawiającemu najpóźniej w ostatnim dniu obowiązywania Umowy.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after="0" w:line="276" w:lineRule="auto"/>
        <w:ind w:left="1440" w:right="-466.06299212598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 chwilą zakończenia Umowy zwróci wszystkie identyfikatory oraz karty dostępu.</w:t>
      </w:r>
    </w:p>
    <w:p w:rsidR="00000000" w:rsidDel="00000000" w:rsidP="00000000" w:rsidRDefault="00000000" w:rsidRPr="00000000" w14:paraId="0000005A">
      <w:pPr>
        <w:spacing w:after="240" w:before="240" w:line="276" w:lineRule="auto"/>
        <w:rPr>
          <w:rFonts w:ascii="Arial" w:cs="Arial" w:eastAsia="Arial" w:hAnsi="Arial"/>
          <w:b w:val="1"/>
          <w:bCs w:val="1"/>
          <w:color w:val="1f1f1f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="276" w:lineRule="auto"/>
        <w:rPr>
          <w:rFonts w:ascii="Arial" w:cs="Arial" w:eastAsia="Arial" w:hAnsi="Arial"/>
          <w:b w:val="1"/>
          <w:bCs w:val="1"/>
          <w:color w:val="1f1f1f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76" w:lineRule="auto"/>
        <w:ind w:right="-466.0629921259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20" w:line="276" w:lineRule="auto"/>
        <w:ind w:right="-466.062992125984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/>
      </w:pPr>
      <w:bookmarkStart w:colFirst="0" w:colLast="0" w:name="_ngpfuee3osiu" w:id="13"/>
      <w:bookmarkEnd w:id="13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993" w:left="1417" w:right="1417" w:header="0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spacing w:after="0" w:lineRule="auto"/>
      <w:jc w:val="center"/>
      <w:rPr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spacing w:after="0" w:lineRule="auto"/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STRONA 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20"/>
        <w:szCs w:val="20"/>
        <w:rtl w:val="0"/>
      </w:rPr>
      <w:t xml:space="preserve">/</w:t>
    </w:r>
    <w:r w:rsidDel="00000000" w:rsidR="00000000" w:rsidRPr="00000000">
      <w:rPr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"/>
      <w:tblW w:w="10725.0" w:type="dxa"/>
      <w:jc w:val="center"/>
      <w:tblBorders>
        <w:top w:color="783f04" w:space="0" w:sz="8" w:val="single"/>
        <w:left w:color="783f04" w:space="0" w:sz="8" w:val="single"/>
        <w:bottom w:color="783f04" w:space="0" w:sz="8" w:val="single"/>
        <w:right w:color="783f04" w:space="0" w:sz="8" w:val="single"/>
        <w:insideH w:color="783f04" w:space="0" w:sz="8" w:val="single"/>
        <w:insideV w:color="783f04" w:space="0" w:sz="8" w:val="single"/>
      </w:tblBorders>
      <w:tblLayout w:type="fixed"/>
      <w:tblLook w:val="0600"/>
    </w:tblPr>
    <w:tblGrid>
      <w:gridCol w:w="1665"/>
      <w:gridCol w:w="6000"/>
      <w:gridCol w:w="3060"/>
      <w:tblGridChange w:id="0">
        <w:tblGrid>
          <w:gridCol w:w="1665"/>
          <w:gridCol w:w="6000"/>
          <w:gridCol w:w="3060"/>
        </w:tblGrid>
      </w:tblGridChange>
    </w:tblGrid>
    <w:tr>
      <w:trPr>
        <w:cantSplit w:val="0"/>
        <w:trHeight w:val="495" w:hRule="atLeast"/>
        <w:tblHeader w:val="0"/>
      </w:trPr>
      <w:tc>
        <w:tcPr>
          <w:vMerge w:val="restart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0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-141.73228346456688" w:right="0" w:firstLine="0"/>
            <w:jc w:val="center"/>
            <w:rPr/>
          </w:pPr>
          <w:r w:rsidDel="00000000" w:rsidR="00000000" w:rsidRPr="00000000">
            <w:rPr/>
            <w:drawing>
              <wp:inline distB="114300" distT="114300" distL="114300" distR="114300">
                <wp:extent cx="923925" cy="35560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355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1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-21.023622047242725" w:firstLine="0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OPZ.02-INS.01-03.PL KLAUZULA - WYMAGANIA CYBERBEZPIECZEŃSTWA WOBEC DOSTAWCÓW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783f04" w:space="0" w:sz="4" w:val="single"/>
            <w:left w:color="783f04" w:space="0" w:sz="4" w:val="single"/>
            <w:bottom w:color="783f04" w:space="0" w:sz="4" w:val="single"/>
            <w:right w:color="783f04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2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DATA OPRACOWANIA: 2025/08/12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0" w:hRule="atLeast"/>
        <w:tblHeader w:val="0"/>
      </w:trPr>
      <w:tc>
        <w:tcPr>
          <w:vMerge w:val="continue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783f04" w:space="0" w:sz="4" w:val="single"/>
            <w:left w:color="783f04" w:space="0" w:sz="4" w:val="single"/>
            <w:bottom w:color="783f04" w:space="0" w:sz="4" w:val="single"/>
            <w:right w:color="783f04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5">
          <w:pPr>
            <w:tabs>
              <w:tab w:val="center" w:leader="none" w:pos="4536"/>
              <w:tab w:val="right" w:leader="none" w:pos="9072"/>
            </w:tabs>
            <w:spacing w:after="0" w:lineRule="auto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DATA AKTUALIZACJI: -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6">
    <w:pPr>
      <w:tabs>
        <w:tab w:val="center" w:leader="none" w:pos="4536"/>
        <w:tab w:val="right" w:leader="none" w:pos="9072"/>
      </w:tabs>
      <w:spacing w:after="0" w:lineRule="auto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sz w:val="22"/>
        <w:szCs w:val="22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409.448818897638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mailto:vpol.soc@veolia.com" TargetMode="External"/><Relationship Id="rId7" Type="http://schemas.openxmlformats.org/officeDocument/2006/relationships/hyperlink" Target="https://www.veolia.pl/operacyjne-centrum-cyberbezpieczenstwa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